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EFF66" w14:textId="683444F2" w:rsidR="00C0121E" w:rsidRPr="0030625E" w:rsidRDefault="0030625E">
      <w:pPr>
        <w:rPr>
          <w:rFonts w:ascii="Times New Roman" w:hAnsi="Times New Roman" w:cs="Times New Roman"/>
          <w:b/>
          <w:bCs/>
          <w:u w:val="single"/>
        </w:rPr>
      </w:pPr>
      <w:r w:rsidRPr="0030625E">
        <w:rPr>
          <w:rFonts w:ascii="Times New Roman" w:hAnsi="Times New Roman" w:cs="Times New Roman"/>
          <w:b/>
          <w:bCs/>
          <w:u w:val="single"/>
        </w:rPr>
        <w:t xml:space="preserve">Samples papers Psych 370 </w:t>
      </w:r>
    </w:p>
    <w:p w14:paraId="73BF71B8" w14:textId="662BE87E" w:rsidR="0030625E" w:rsidRPr="0030625E" w:rsidRDefault="0030625E" w:rsidP="0030625E">
      <w:pPr>
        <w:pStyle w:val="ListParagraph"/>
        <w:numPr>
          <w:ilvl w:val="0"/>
          <w:numId w:val="1"/>
        </w:numPr>
        <w:spacing w:after="0" w:line="480" w:lineRule="auto"/>
        <w:rPr>
          <w:rFonts w:ascii="Times New Roman" w:eastAsia="Times New Roman" w:hAnsi="Times New Roman" w:cs="Times New Roman"/>
          <w:sz w:val="24"/>
          <w:szCs w:val="24"/>
          <w:lang w:val="en"/>
        </w:rPr>
      </w:pPr>
      <w:r w:rsidRPr="0030625E">
        <w:rPr>
          <w:rFonts w:ascii="Times New Roman" w:eastAsia="Times New Roman" w:hAnsi="Times New Roman" w:cs="Times New Roman"/>
          <w:sz w:val="24"/>
          <w:szCs w:val="24"/>
          <w:lang w:val="en"/>
        </w:rPr>
        <w:t>Giulia Giuliano</w:t>
      </w:r>
    </w:p>
    <w:p w14:paraId="127AA2BF" w14:textId="77777777" w:rsidR="0030625E" w:rsidRPr="0030625E" w:rsidRDefault="0030625E" w:rsidP="0030625E">
      <w:pPr>
        <w:spacing w:after="0" w:line="480" w:lineRule="auto"/>
        <w:rPr>
          <w:rFonts w:ascii="Times New Roman" w:eastAsia="Times New Roman" w:hAnsi="Times New Roman" w:cs="Times New Roman"/>
          <w:sz w:val="24"/>
          <w:szCs w:val="24"/>
          <w:lang w:val="en"/>
        </w:rPr>
      </w:pPr>
      <w:r w:rsidRPr="0030625E">
        <w:rPr>
          <w:rFonts w:ascii="Times New Roman" w:eastAsia="Times New Roman" w:hAnsi="Times New Roman" w:cs="Times New Roman"/>
          <w:sz w:val="24"/>
          <w:szCs w:val="24"/>
          <w:lang w:val="en"/>
        </w:rPr>
        <w:t>PSY 370 Fall 2020 Professor Johnson</w:t>
      </w:r>
    </w:p>
    <w:p w14:paraId="05C23974" w14:textId="77777777" w:rsidR="0030625E" w:rsidRPr="0030625E" w:rsidRDefault="0030625E" w:rsidP="0030625E">
      <w:pPr>
        <w:spacing w:after="0" w:line="480" w:lineRule="auto"/>
        <w:jc w:val="center"/>
        <w:rPr>
          <w:rFonts w:ascii="Times New Roman" w:eastAsia="Times New Roman" w:hAnsi="Times New Roman" w:cs="Times New Roman"/>
          <w:sz w:val="24"/>
          <w:szCs w:val="24"/>
          <w:lang w:val="en"/>
        </w:rPr>
      </w:pPr>
      <w:r w:rsidRPr="0030625E">
        <w:rPr>
          <w:rFonts w:ascii="Times New Roman" w:eastAsia="Times New Roman" w:hAnsi="Times New Roman" w:cs="Times New Roman"/>
          <w:sz w:val="24"/>
          <w:szCs w:val="24"/>
          <w:lang w:val="en"/>
        </w:rPr>
        <w:t>“Trauma and Long‐Term Memory for Childhood Events: Impact Matters”</w:t>
      </w:r>
    </w:p>
    <w:p w14:paraId="0722D63C" w14:textId="77777777" w:rsidR="0030625E" w:rsidRPr="0030625E" w:rsidRDefault="0030625E" w:rsidP="0030625E">
      <w:pPr>
        <w:spacing w:after="0" w:line="480" w:lineRule="auto"/>
        <w:rPr>
          <w:rFonts w:ascii="Times New Roman" w:eastAsia="Times New Roman" w:hAnsi="Times New Roman" w:cs="Times New Roman"/>
          <w:sz w:val="24"/>
          <w:szCs w:val="24"/>
          <w:lang w:val="en"/>
        </w:rPr>
      </w:pPr>
      <w:r w:rsidRPr="0030625E">
        <w:rPr>
          <w:rFonts w:ascii="Times New Roman" w:eastAsia="Times New Roman" w:hAnsi="Times New Roman" w:cs="Times New Roman"/>
          <w:sz w:val="24"/>
          <w:szCs w:val="24"/>
          <w:lang w:val="en"/>
        </w:rPr>
        <w:t>Abstract</w:t>
      </w:r>
    </w:p>
    <w:p w14:paraId="5E816D06" w14:textId="77777777" w:rsidR="0030625E" w:rsidRPr="0030625E" w:rsidRDefault="0030625E" w:rsidP="0030625E">
      <w:pPr>
        <w:spacing w:after="0" w:line="240" w:lineRule="auto"/>
        <w:rPr>
          <w:rFonts w:ascii="Times New Roman" w:eastAsia="Times New Roman" w:hAnsi="Times New Roman" w:cs="Times New Roman"/>
          <w:i/>
          <w:iCs/>
          <w:sz w:val="24"/>
          <w:szCs w:val="24"/>
          <w:lang w:val="en"/>
        </w:rPr>
      </w:pPr>
      <w:r w:rsidRPr="0030625E">
        <w:rPr>
          <w:rFonts w:ascii="Times New Roman" w:eastAsia="Times New Roman" w:hAnsi="Times New Roman" w:cs="Times New Roman"/>
          <w:i/>
          <w:iCs/>
          <w:sz w:val="24"/>
          <w:szCs w:val="24"/>
          <w:lang w:val="en"/>
        </w:rPr>
        <w:t xml:space="preserve">This article sought to understand the accuracy of </w:t>
      </w:r>
      <w:proofErr w:type="gramStart"/>
      <w:r w:rsidRPr="0030625E">
        <w:rPr>
          <w:rFonts w:ascii="Times New Roman" w:eastAsia="Times New Roman" w:hAnsi="Times New Roman" w:cs="Times New Roman"/>
          <w:i/>
          <w:iCs/>
          <w:sz w:val="24"/>
          <w:szCs w:val="24"/>
          <w:lang w:val="en"/>
        </w:rPr>
        <w:t>long term</w:t>
      </w:r>
      <w:proofErr w:type="gramEnd"/>
      <w:r w:rsidRPr="0030625E">
        <w:rPr>
          <w:rFonts w:ascii="Times New Roman" w:eastAsia="Times New Roman" w:hAnsi="Times New Roman" w:cs="Times New Roman"/>
          <w:i/>
          <w:iCs/>
          <w:sz w:val="24"/>
          <w:szCs w:val="24"/>
          <w:lang w:val="en"/>
        </w:rPr>
        <w:t xml:space="preserve"> memory in adults who experienced childhood trauma, as well as what factors contribute to increased or decreased accuracy. The researchers conducted two longitudinal studies, both of which compared accuracy of memory in children and adolescents shortly after the event occurred with accuracy years after the event occurred. They found in both cases that greater distress and traumatic impact positively correlated with accuracy. </w:t>
      </w:r>
    </w:p>
    <w:p w14:paraId="264065FC" w14:textId="77777777" w:rsidR="0030625E" w:rsidRPr="0030625E" w:rsidRDefault="0030625E" w:rsidP="0030625E">
      <w:pPr>
        <w:spacing w:after="0" w:line="240" w:lineRule="auto"/>
        <w:rPr>
          <w:rFonts w:ascii="Times New Roman" w:eastAsia="Times New Roman" w:hAnsi="Times New Roman" w:cs="Times New Roman"/>
          <w:sz w:val="24"/>
          <w:szCs w:val="24"/>
          <w:lang w:val="en"/>
        </w:rPr>
      </w:pPr>
    </w:p>
    <w:p w14:paraId="0F95301E" w14:textId="77777777" w:rsidR="0030625E" w:rsidRPr="0030625E" w:rsidRDefault="0030625E" w:rsidP="0030625E">
      <w:pPr>
        <w:spacing w:after="0" w:line="480" w:lineRule="auto"/>
        <w:ind w:firstLine="720"/>
        <w:rPr>
          <w:rFonts w:ascii="Times New Roman" w:eastAsia="Times New Roman" w:hAnsi="Times New Roman" w:cs="Times New Roman"/>
          <w:sz w:val="24"/>
          <w:szCs w:val="24"/>
          <w:lang w:val="en"/>
        </w:rPr>
      </w:pPr>
      <w:r w:rsidRPr="0030625E">
        <w:rPr>
          <w:rFonts w:ascii="Times New Roman" w:eastAsia="Times New Roman" w:hAnsi="Times New Roman" w:cs="Times New Roman"/>
          <w:sz w:val="24"/>
          <w:szCs w:val="24"/>
          <w:lang w:val="en"/>
        </w:rPr>
        <w:t xml:space="preserve">There has been little research done specifically on memory of events that are physically or psychologically threatening, however the current academic consensus is that memory is strongest for highly negative emotional events. Survival instinct appears to aid in memory as well. This is due in part to the prefrontal-hippocampal-amygdala complex being activated. This causes a person’s attention to focus on what the brain deems to be the most vital aspects of the stressful event. For these things, memory is enhanced, however memories of the smaller details are weakened as a result. Generally speaking, a person’s memory of traumatic experiences will be more vivid and accurate over time than that of their positive experiences (Peace, Porter, &amp; </w:t>
      </w:r>
      <w:proofErr w:type="spellStart"/>
      <w:r w:rsidRPr="0030625E">
        <w:rPr>
          <w:rFonts w:ascii="Times New Roman" w:eastAsia="Times New Roman" w:hAnsi="Times New Roman" w:cs="Times New Roman"/>
          <w:sz w:val="24"/>
          <w:szCs w:val="24"/>
          <w:lang w:val="en"/>
        </w:rPr>
        <w:t>Brinke</w:t>
      </w:r>
      <w:proofErr w:type="spellEnd"/>
      <w:r w:rsidRPr="0030625E">
        <w:rPr>
          <w:rFonts w:ascii="Times New Roman" w:eastAsia="Times New Roman" w:hAnsi="Times New Roman" w:cs="Times New Roman"/>
          <w:sz w:val="24"/>
          <w:szCs w:val="24"/>
          <w:lang w:val="en"/>
        </w:rPr>
        <w:t xml:space="preserve">, 2008). It is important to note that traumatic events, especially those that occurred during childhood, can cause complicating factors that impact the accuracy of memory, such as depression. There are two models that address this, the most prominent one being the impairment model which states that “maltreatment causes deficits or distortions in cognitive and socioemotional processes, as well as impairments or alterations in neurobiology and brain development, which might affect memory. An alternative view is the conditional adaptation model, which emphasizes that maltreatment in childhood results in specialized mental functions </w:t>
      </w:r>
      <w:r w:rsidRPr="0030625E">
        <w:rPr>
          <w:rFonts w:ascii="Times New Roman" w:eastAsia="Times New Roman" w:hAnsi="Times New Roman" w:cs="Times New Roman"/>
          <w:sz w:val="24"/>
          <w:szCs w:val="24"/>
          <w:lang w:val="en"/>
        </w:rPr>
        <w:lastRenderedPageBreak/>
        <w:t xml:space="preserve">that are adapted to threatening and stressful environments” (Goodman, </w:t>
      </w:r>
      <w:proofErr w:type="spellStart"/>
      <w:r w:rsidRPr="0030625E">
        <w:rPr>
          <w:rFonts w:ascii="Times New Roman" w:eastAsia="Times New Roman" w:hAnsi="Times New Roman" w:cs="Times New Roman"/>
          <w:sz w:val="24"/>
          <w:szCs w:val="24"/>
          <w:lang w:val="en"/>
        </w:rPr>
        <w:t>Quas</w:t>
      </w:r>
      <w:proofErr w:type="spellEnd"/>
      <w:r w:rsidRPr="0030625E">
        <w:rPr>
          <w:rFonts w:ascii="Times New Roman" w:eastAsia="Times New Roman" w:hAnsi="Times New Roman" w:cs="Times New Roman"/>
          <w:sz w:val="24"/>
          <w:szCs w:val="24"/>
          <w:lang w:val="en"/>
        </w:rPr>
        <w:t xml:space="preserve">, Goldfarb, </w:t>
      </w:r>
      <w:proofErr w:type="spellStart"/>
      <w:r w:rsidRPr="0030625E">
        <w:rPr>
          <w:rFonts w:ascii="Times New Roman" w:eastAsia="Times New Roman" w:hAnsi="Times New Roman" w:cs="Times New Roman"/>
          <w:sz w:val="24"/>
          <w:szCs w:val="24"/>
          <w:lang w:val="en"/>
        </w:rPr>
        <w:t>Gonzalves</w:t>
      </w:r>
      <w:proofErr w:type="spellEnd"/>
      <w:r w:rsidRPr="0030625E">
        <w:rPr>
          <w:rFonts w:ascii="Times New Roman" w:eastAsia="Times New Roman" w:hAnsi="Times New Roman" w:cs="Times New Roman"/>
          <w:sz w:val="24"/>
          <w:szCs w:val="24"/>
          <w:lang w:val="en"/>
        </w:rPr>
        <w:t xml:space="preserve"> &amp; Gonzalez, 2019). </w:t>
      </w:r>
    </w:p>
    <w:p w14:paraId="6963B1E2" w14:textId="77777777" w:rsidR="0030625E" w:rsidRPr="0030625E" w:rsidRDefault="0030625E" w:rsidP="0030625E">
      <w:pPr>
        <w:spacing w:after="0" w:line="480" w:lineRule="auto"/>
        <w:ind w:firstLine="720"/>
        <w:rPr>
          <w:rFonts w:ascii="Times New Roman" w:eastAsia="Times New Roman" w:hAnsi="Times New Roman" w:cs="Times New Roman"/>
          <w:sz w:val="24"/>
          <w:szCs w:val="24"/>
          <w:lang w:val="en"/>
        </w:rPr>
      </w:pPr>
      <w:r w:rsidRPr="0030625E">
        <w:rPr>
          <w:rFonts w:ascii="Times New Roman" w:eastAsia="Times New Roman" w:hAnsi="Times New Roman" w:cs="Times New Roman"/>
          <w:sz w:val="24"/>
          <w:szCs w:val="24"/>
          <w:lang w:val="en"/>
        </w:rPr>
        <w:t xml:space="preserve">In this article, two longitudinal studies were conducted to evaluate long-term memory for childhood trauma as well as events related to the trauma. The first study examined children and adolescents aged four through seventeen who were victims of child sexual abuse. They compiled an extensive amount of documentation including police and prosecutors’ records, surveys taken by both the </w:t>
      </w:r>
      <w:proofErr w:type="spellStart"/>
      <w:r w:rsidRPr="0030625E">
        <w:rPr>
          <w:rFonts w:ascii="Times New Roman" w:eastAsia="Times New Roman" w:hAnsi="Times New Roman" w:cs="Times New Roman"/>
          <w:sz w:val="24"/>
          <w:szCs w:val="24"/>
          <w:lang w:val="en"/>
        </w:rPr>
        <w:t>non offending</w:t>
      </w:r>
      <w:proofErr w:type="spellEnd"/>
      <w:r w:rsidRPr="0030625E">
        <w:rPr>
          <w:rFonts w:ascii="Times New Roman" w:eastAsia="Times New Roman" w:hAnsi="Times New Roman" w:cs="Times New Roman"/>
          <w:sz w:val="24"/>
          <w:szCs w:val="24"/>
          <w:lang w:val="en"/>
        </w:rPr>
        <w:t xml:space="preserve"> parents and child victims, interviews of the </w:t>
      </w:r>
      <w:proofErr w:type="spellStart"/>
      <w:r w:rsidRPr="0030625E">
        <w:rPr>
          <w:rFonts w:ascii="Times New Roman" w:eastAsia="Times New Roman" w:hAnsi="Times New Roman" w:cs="Times New Roman"/>
          <w:sz w:val="24"/>
          <w:szCs w:val="24"/>
          <w:lang w:val="en"/>
        </w:rPr>
        <w:t>non offending</w:t>
      </w:r>
      <w:proofErr w:type="spellEnd"/>
      <w:r w:rsidRPr="0030625E">
        <w:rPr>
          <w:rFonts w:ascii="Times New Roman" w:eastAsia="Times New Roman" w:hAnsi="Times New Roman" w:cs="Times New Roman"/>
          <w:sz w:val="24"/>
          <w:szCs w:val="24"/>
          <w:lang w:val="en"/>
        </w:rPr>
        <w:t xml:space="preserve"> parents, and courtroom observations of the children (Goodman et al., 2019). They then interviewed eighty percent of the victims (now aged sixteen through thirty) approximately fourteen years later in order to reexamine their memories of their cases as well as the abuse. They found that thirty percent of the participants experienced loss of memory. They concluded that the severity of the abuse, the victim’s relationship to the perpetrator, and frequency of testimony affected the accuracy of memories. Additionally, participants who had a lack of maternal support were less likely to accurately remember the abuse. These findings suggest that accurate </w:t>
      </w:r>
      <w:proofErr w:type="gramStart"/>
      <w:r w:rsidRPr="0030625E">
        <w:rPr>
          <w:rFonts w:ascii="Times New Roman" w:eastAsia="Times New Roman" w:hAnsi="Times New Roman" w:cs="Times New Roman"/>
          <w:sz w:val="24"/>
          <w:szCs w:val="24"/>
          <w:lang w:val="en"/>
        </w:rPr>
        <w:t>long term</w:t>
      </w:r>
      <w:proofErr w:type="gramEnd"/>
      <w:r w:rsidRPr="0030625E">
        <w:rPr>
          <w:rFonts w:ascii="Times New Roman" w:eastAsia="Times New Roman" w:hAnsi="Times New Roman" w:cs="Times New Roman"/>
          <w:sz w:val="24"/>
          <w:szCs w:val="24"/>
          <w:lang w:val="en"/>
        </w:rPr>
        <w:t xml:space="preserve"> memory is directly correlated to greater distress and traumatic impact.  </w:t>
      </w:r>
    </w:p>
    <w:p w14:paraId="30AC13C7" w14:textId="77777777" w:rsidR="0030625E" w:rsidRPr="0030625E" w:rsidRDefault="0030625E" w:rsidP="0030625E">
      <w:pPr>
        <w:spacing w:after="0" w:line="480" w:lineRule="auto"/>
        <w:ind w:firstLine="720"/>
        <w:rPr>
          <w:rFonts w:ascii="Times New Roman" w:eastAsia="Times New Roman" w:hAnsi="Times New Roman" w:cs="Times New Roman"/>
          <w:sz w:val="24"/>
          <w:szCs w:val="24"/>
          <w:lang w:val="en"/>
        </w:rPr>
      </w:pPr>
      <w:r w:rsidRPr="0030625E">
        <w:rPr>
          <w:rFonts w:ascii="Times New Roman" w:eastAsia="Times New Roman" w:hAnsi="Times New Roman" w:cs="Times New Roman"/>
          <w:sz w:val="24"/>
          <w:szCs w:val="24"/>
          <w:lang w:val="en"/>
        </w:rPr>
        <w:t xml:space="preserve">Study two also examined the memory of victims of </w:t>
      </w:r>
      <w:proofErr w:type="spellStart"/>
      <w:r w:rsidRPr="0030625E">
        <w:rPr>
          <w:rFonts w:ascii="Times New Roman" w:eastAsia="Times New Roman" w:hAnsi="Times New Roman" w:cs="Times New Roman"/>
          <w:sz w:val="24"/>
          <w:szCs w:val="24"/>
          <w:lang w:val="en"/>
        </w:rPr>
        <w:t>childhoood</w:t>
      </w:r>
      <w:proofErr w:type="spellEnd"/>
      <w:r w:rsidRPr="0030625E">
        <w:rPr>
          <w:rFonts w:ascii="Times New Roman" w:eastAsia="Times New Roman" w:hAnsi="Times New Roman" w:cs="Times New Roman"/>
          <w:sz w:val="24"/>
          <w:szCs w:val="24"/>
          <w:lang w:val="en"/>
        </w:rPr>
        <w:t xml:space="preserve"> abuse, but in contrast to study one, </w:t>
      </w:r>
      <w:proofErr w:type="gramStart"/>
      <w:r w:rsidRPr="0030625E">
        <w:rPr>
          <w:rFonts w:ascii="Times New Roman" w:eastAsia="Times New Roman" w:hAnsi="Times New Roman" w:cs="Times New Roman"/>
          <w:sz w:val="24"/>
          <w:szCs w:val="24"/>
          <w:lang w:val="en"/>
        </w:rPr>
        <w:t>this one included victims of sexual abuse</w:t>
      </w:r>
      <w:proofErr w:type="gramEnd"/>
      <w:r w:rsidRPr="0030625E">
        <w:rPr>
          <w:rFonts w:ascii="Times New Roman" w:eastAsia="Times New Roman" w:hAnsi="Times New Roman" w:cs="Times New Roman"/>
          <w:sz w:val="24"/>
          <w:szCs w:val="24"/>
          <w:lang w:val="en"/>
        </w:rPr>
        <w:t xml:space="preserve"> as well as physical abuse and neglect. This study also included a control group that did not have a history of child abuse. The participants were children and adolescents aged three through seventeen who had been evaluated in a forensic hospital unit after being removed from their homes due to alleged abuse. They were then tested for their memory of the evaluations both three days after it occurred and approximately twenty years after it occurred. The researchers tested suggestibility by giving half of the participants suggestions of events that did not occur. Seventeen percent of the participants </w:t>
      </w:r>
      <w:r w:rsidRPr="0030625E">
        <w:rPr>
          <w:rFonts w:ascii="Times New Roman" w:eastAsia="Times New Roman" w:hAnsi="Times New Roman" w:cs="Times New Roman"/>
          <w:sz w:val="24"/>
          <w:szCs w:val="24"/>
          <w:lang w:val="en"/>
        </w:rPr>
        <w:lastRenderedPageBreak/>
        <w:t xml:space="preserve">experienced loss of memory and forty three percent were able to recall a specific examination. None of the participants claimed to remember abuse that did not actually happen, however some participants recalled the fake event that was suggested by the researchers, such as receiving a shot during the evaluation although no shots were actually administered.  The findings were also consistent with study one in that maternal support predicted memory accuracy. </w:t>
      </w:r>
    </w:p>
    <w:p w14:paraId="547F899D" w14:textId="77777777" w:rsidR="0030625E" w:rsidRPr="0030625E" w:rsidRDefault="0030625E" w:rsidP="0030625E">
      <w:pPr>
        <w:spacing w:after="0" w:line="480" w:lineRule="auto"/>
        <w:ind w:firstLine="720"/>
        <w:rPr>
          <w:rFonts w:ascii="Times New Roman" w:eastAsia="Times New Roman" w:hAnsi="Times New Roman" w:cs="Times New Roman"/>
          <w:sz w:val="24"/>
          <w:szCs w:val="24"/>
          <w:lang w:val="en"/>
        </w:rPr>
      </w:pPr>
      <w:r w:rsidRPr="0030625E">
        <w:rPr>
          <w:rFonts w:ascii="Times New Roman" w:eastAsia="Times New Roman" w:hAnsi="Times New Roman" w:cs="Times New Roman"/>
          <w:sz w:val="24"/>
          <w:szCs w:val="24"/>
          <w:lang w:val="en"/>
        </w:rPr>
        <w:t xml:space="preserve">Childhood trauma does not always improve memory, nor does it always harm it, rather, there are many compounding factors that influence accurate </w:t>
      </w:r>
      <w:proofErr w:type="gramStart"/>
      <w:r w:rsidRPr="0030625E">
        <w:rPr>
          <w:rFonts w:ascii="Times New Roman" w:eastAsia="Times New Roman" w:hAnsi="Times New Roman" w:cs="Times New Roman"/>
          <w:sz w:val="24"/>
          <w:szCs w:val="24"/>
          <w:lang w:val="en"/>
        </w:rPr>
        <w:t>long term</w:t>
      </w:r>
      <w:proofErr w:type="gramEnd"/>
      <w:r w:rsidRPr="0030625E">
        <w:rPr>
          <w:rFonts w:ascii="Times New Roman" w:eastAsia="Times New Roman" w:hAnsi="Times New Roman" w:cs="Times New Roman"/>
          <w:sz w:val="24"/>
          <w:szCs w:val="24"/>
          <w:lang w:val="en"/>
        </w:rPr>
        <w:t xml:space="preserve"> memory. One thing that is consistent is that more severe abuse and greater traumatic impact leads to more accurate memory of childhood experiences. Research on this subject is incredibly important, especially in court. It is common for victims of child abuse to wait until adulthood to seek legal action, and the accuracy of their memories are nearly always called into question. The defendant's word is pitted against the accused, and in many </w:t>
      </w:r>
      <w:proofErr w:type="gramStart"/>
      <w:r w:rsidRPr="0030625E">
        <w:rPr>
          <w:rFonts w:ascii="Times New Roman" w:eastAsia="Times New Roman" w:hAnsi="Times New Roman" w:cs="Times New Roman"/>
          <w:sz w:val="24"/>
          <w:szCs w:val="24"/>
          <w:lang w:val="en"/>
        </w:rPr>
        <w:t>cases</w:t>
      </w:r>
      <w:proofErr w:type="gramEnd"/>
      <w:r w:rsidRPr="0030625E">
        <w:rPr>
          <w:rFonts w:ascii="Times New Roman" w:eastAsia="Times New Roman" w:hAnsi="Times New Roman" w:cs="Times New Roman"/>
          <w:sz w:val="24"/>
          <w:szCs w:val="24"/>
          <w:lang w:val="en"/>
        </w:rPr>
        <w:t xml:space="preserve"> it is discounted because of the longstanding idea that the years that have passed since the abuse may lead to deficits in memory and false accusations. Understanding that severe traumatic impact does not cause a deficit in memory or lead to accusations of abuse that did not happen is essential (Peace, Porter, &amp; </w:t>
      </w:r>
      <w:proofErr w:type="spellStart"/>
      <w:r w:rsidRPr="0030625E">
        <w:rPr>
          <w:rFonts w:ascii="Times New Roman" w:eastAsia="Times New Roman" w:hAnsi="Times New Roman" w:cs="Times New Roman"/>
          <w:sz w:val="24"/>
          <w:szCs w:val="24"/>
          <w:lang w:val="en"/>
        </w:rPr>
        <w:t>Brinke</w:t>
      </w:r>
      <w:proofErr w:type="spellEnd"/>
      <w:r w:rsidRPr="0030625E">
        <w:rPr>
          <w:rFonts w:ascii="Times New Roman" w:eastAsia="Times New Roman" w:hAnsi="Times New Roman" w:cs="Times New Roman"/>
          <w:sz w:val="24"/>
          <w:szCs w:val="24"/>
          <w:lang w:val="en"/>
        </w:rPr>
        <w:t xml:space="preserve">, 2008).  Further research needs to be done on the roles that suggestibility has in memory accuracy, as well as memories of singular traumatic events in comparison to long term abuse. </w:t>
      </w:r>
    </w:p>
    <w:p w14:paraId="3BCF4173" w14:textId="77777777" w:rsidR="0030625E" w:rsidRPr="0030625E" w:rsidRDefault="0030625E" w:rsidP="0030625E">
      <w:pPr>
        <w:spacing w:after="0" w:line="480" w:lineRule="auto"/>
        <w:rPr>
          <w:rFonts w:ascii="Times New Roman" w:eastAsia="Times New Roman" w:hAnsi="Times New Roman" w:cs="Times New Roman"/>
          <w:sz w:val="24"/>
          <w:szCs w:val="24"/>
          <w:lang w:val="en"/>
        </w:rPr>
      </w:pPr>
      <w:r w:rsidRPr="0030625E">
        <w:rPr>
          <w:rFonts w:ascii="Times New Roman" w:eastAsia="Times New Roman" w:hAnsi="Times New Roman" w:cs="Times New Roman"/>
          <w:sz w:val="24"/>
          <w:szCs w:val="24"/>
          <w:lang w:val="en"/>
        </w:rPr>
        <w:t>References:</w:t>
      </w:r>
    </w:p>
    <w:p w14:paraId="190EA475" w14:textId="77777777" w:rsidR="0030625E" w:rsidRPr="0030625E" w:rsidRDefault="0030625E" w:rsidP="0030625E">
      <w:pPr>
        <w:spacing w:after="0" w:line="240" w:lineRule="auto"/>
        <w:rPr>
          <w:rFonts w:ascii="Times New Roman" w:eastAsia="Times New Roman" w:hAnsi="Times New Roman" w:cs="Times New Roman"/>
          <w:sz w:val="24"/>
          <w:szCs w:val="24"/>
          <w:lang w:val="en"/>
        </w:rPr>
      </w:pPr>
      <w:r w:rsidRPr="0030625E">
        <w:rPr>
          <w:rFonts w:ascii="Times New Roman" w:eastAsia="Times New Roman" w:hAnsi="Times New Roman" w:cs="Times New Roman"/>
          <w:sz w:val="24"/>
          <w:szCs w:val="24"/>
          <w:lang w:val="en"/>
        </w:rPr>
        <w:t xml:space="preserve">Goodman, G., </w:t>
      </w:r>
      <w:proofErr w:type="spellStart"/>
      <w:r w:rsidRPr="0030625E">
        <w:rPr>
          <w:rFonts w:ascii="Times New Roman" w:eastAsia="Times New Roman" w:hAnsi="Times New Roman" w:cs="Times New Roman"/>
          <w:sz w:val="24"/>
          <w:szCs w:val="24"/>
          <w:lang w:val="en"/>
        </w:rPr>
        <w:t>Quas</w:t>
      </w:r>
      <w:proofErr w:type="spellEnd"/>
      <w:r w:rsidRPr="0030625E">
        <w:rPr>
          <w:rFonts w:ascii="Times New Roman" w:eastAsia="Times New Roman" w:hAnsi="Times New Roman" w:cs="Times New Roman"/>
          <w:sz w:val="24"/>
          <w:szCs w:val="24"/>
          <w:lang w:val="en"/>
        </w:rPr>
        <w:t xml:space="preserve">, J., Goldfarb, D., </w:t>
      </w:r>
      <w:proofErr w:type="spellStart"/>
      <w:r w:rsidRPr="0030625E">
        <w:rPr>
          <w:rFonts w:ascii="Times New Roman" w:eastAsia="Times New Roman" w:hAnsi="Times New Roman" w:cs="Times New Roman"/>
          <w:sz w:val="24"/>
          <w:szCs w:val="24"/>
          <w:lang w:val="en"/>
        </w:rPr>
        <w:t>Gonzalves</w:t>
      </w:r>
      <w:proofErr w:type="spellEnd"/>
      <w:r w:rsidRPr="0030625E">
        <w:rPr>
          <w:rFonts w:ascii="Times New Roman" w:eastAsia="Times New Roman" w:hAnsi="Times New Roman" w:cs="Times New Roman"/>
          <w:sz w:val="24"/>
          <w:szCs w:val="24"/>
          <w:lang w:val="en"/>
        </w:rPr>
        <w:t xml:space="preserve">, L., &amp; Gonzalez, A. (2019). Trauma and Long‐Term Memory for Childhood Events: Impact Matters. Child Development Perspectives, 13(1), 3–9. </w:t>
      </w:r>
      <w:hyperlink r:id="rId5">
        <w:r w:rsidRPr="0030625E">
          <w:rPr>
            <w:rFonts w:ascii="Times New Roman" w:eastAsia="Times New Roman" w:hAnsi="Times New Roman" w:cs="Times New Roman"/>
            <w:color w:val="1155CC"/>
            <w:sz w:val="24"/>
            <w:szCs w:val="24"/>
            <w:u w:val="single"/>
            <w:lang w:val="en"/>
          </w:rPr>
          <w:t>https://doi.org/10.1111/cdep.12307</w:t>
        </w:r>
      </w:hyperlink>
    </w:p>
    <w:p w14:paraId="61C7E183" w14:textId="77777777" w:rsidR="0030625E" w:rsidRPr="0030625E" w:rsidRDefault="0030625E" w:rsidP="0030625E">
      <w:pPr>
        <w:spacing w:after="0" w:line="240" w:lineRule="auto"/>
        <w:rPr>
          <w:rFonts w:ascii="Times New Roman" w:eastAsia="Times New Roman" w:hAnsi="Times New Roman" w:cs="Times New Roman"/>
          <w:sz w:val="24"/>
          <w:szCs w:val="24"/>
          <w:lang w:val="en"/>
        </w:rPr>
      </w:pPr>
    </w:p>
    <w:p w14:paraId="4C234398" w14:textId="77777777" w:rsidR="0030625E" w:rsidRPr="0030625E" w:rsidRDefault="0030625E" w:rsidP="0030625E">
      <w:pPr>
        <w:spacing w:after="0" w:line="240" w:lineRule="auto"/>
        <w:rPr>
          <w:rFonts w:ascii="Times New Roman" w:eastAsia="Times New Roman" w:hAnsi="Times New Roman" w:cs="Times New Roman"/>
          <w:sz w:val="24"/>
          <w:szCs w:val="24"/>
          <w:lang w:val="en"/>
        </w:rPr>
      </w:pPr>
      <w:r w:rsidRPr="0030625E">
        <w:rPr>
          <w:rFonts w:ascii="Times New Roman" w:eastAsia="Times New Roman" w:hAnsi="Times New Roman" w:cs="Times New Roman"/>
          <w:sz w:val="24"/>
          <w:szCs w:val="24"/>
          <w:lang w:val="en"/>
        </w:rPr>
        <w:t xml:space="preserve">Peace, K., Porter, S., &amp; </w:t>
      </w:r>
      <w:proofErr w:type="spellStart"/>
      <w:r w:rsidRPr="0030625E">
        <w:rPr>
          <w:rFonts w:ascii="Times New Roman" w:eastAsia="Times New Roman" w:hAnsi="Times New Roman" w:cs="Times New Roman"/>
          <w:sz w:val="24"/>
          <w:szCs w:val="24"/>
          <w:lang w:val="en"/>
        </w:rPr>
        <w:t>Brinke</w:t>
      </w:r>
      <w:proofErr w:type="spellEnd"/>
      <w:r w:rsidRPr="0030625E">
        <w:rPr>
          <w:rFonts w:ascii="Times New Roman" w:eastAsia="Times New Roman" w:hAnsi="Times New Roman" w:cs="Times New Roman"/>
          <w:sz w:val="24"/>
          <w:szCs w:val="24"/>
          <w:lang w:val="en"/>
        </w:rPr>
        <w:t>, L. (2008). Are memories for sexually traumatic events “special”? A within-subjects investigation of trauma and memory in a clinical sample. Memory (Hove), 16(1), 10–21. https://doi.org/10.1080/09658210701363583</w:t>
      </w:r>
    </w:p>
    <w:p w14:paraId="7FE4F25C" w14:textId="77777777" w:rsidR="0030625E" w:rsidRPr="0030625E" w:rsidRDefault="0030625E" w:rsidP="0030625E">
      <w:pPr>
        <w:spacing w:after="0" w:line="240" w:lineRule="auto"/>
        <w:rPr>
          <w:rFonts w:ascii="Times New Roman" w:eastAsia="Times New Roman" w:hAnsi="Times New Roman" w:cs="Times New Roman"/>
          <w:sz w:val="24"/>
          <w:szCs w:val="24"/>
          <w:lang w:val="en"/>
        </w:rPr>
      </w:pPr>
    </w:p>
    <w:p w14:paraId="0D32B2F4" w14:textId="77777777" w:rsidR="0030625E" w:rsidRPr="0030625E" w:rsidRDefault="0030625E" w:rsidP="0030625E">
      <w:pPr>
        <w:spacing w:after="0" w:line="240" w:lineRule="auto"/>
        <w:rPr>
          <w:rFonts w:ascii="Times New Roman" w:eastAsia="Times New Roman" w:hAnsi="Times New Roman" w:cs="Times New Roman"/>
          <w:sz w:val="24"/>
          <w:szCs w:val="24"/>
          <w:lang w:val="en"/>
        </w:rPr>
      </w:pPr>
      <w:r w:rsidRPr="0030625E">
        <w:rPr>
          <w:rFonts w:ascii="Times New Roman" w:eastAsia="Times New Roman" w:hAnsi="Times New Roman" w:cs="Times New Roman"/>
          <w:sz w:val="24"/>
          <w:szCs w:val="24"/>
          <w:lang w:val="en"/>
        </w:rPr>
        <w:lastRenderedPageBreak/>
        <w:t xml:space="preserve">Segovia, D. A., Strange, D., &amp; </w:t>
      </w:r>
      <w:proofErr w:type="spellStart"/>
      <w:r w:rsidRPr="0030625E">
        <w:rPr>
          <w:rFonts w:ascii="Times New Roman" w:eastAsia="Times New Roman" w:hAnsi="Times New Roman" w:cs="Times New Roman"/>
          <w:sz w:val="24"/>
          <w:szCs w:val="24"/>
          <w:lang w:val="en"/>
        </w:rPr>
        <w:t>Takarangi</w:t>
      </w:r>
      <w:proofErr w:type="spellEnd"/>
      <w:r w:rsidRPr="0030625E">
        <w:rPr>
          <w:rFonts w:ascii="Times New Roman" w:eastAsia="Times New Roman" w:hAnsi="Times New Roman" w:cs="Times New Roman"/>
          <w:sz w:val="24"/>
          <w:szCs w:val="24"/>
          <w:lang w:val="en"/>
        </w:rPr>
        <w:t>, M. K. T. (2017). Trauma memories on trial: is cross-examination a safeguard against distorted analogue traumatic memories? Memory (Hove, England), 25(1), 95–106.</w:t>
      </w:r>
    </w:p>
    <w:p w14:paraId="35E49728" w14:textId="5D0F9F95" w:rsidR="0030625E" w:rsidRDefault="0030625E">
      <w:r>
        <w:t xml:space="preserve"> </w:t>
      </w:r>
    </w:p>
    <w:p w14:paraId="60E63625" w14:textId="0950E4C4" w:rsidR="0030625E" w:rsidRPr="0030625E" w:rsidRDefault="0030625E" w:rsidP="0030625E">
      <w:pPr>
        <w:rPr>
          <w:rFonts w:ascii="TimesNewRomanPSMT" w:eastAsia="Times New Roman" w:hAnsi="TimesNewRomanPSMT" w:cs="TimesNewRomanPSMT"/>
          <w:sz w:val="24"/>
          <w:szCs w:val="24"/>
        </w:rPr>
      </w:pPr>
      <w:r w:rsidRPr="0030625E">
        <w:rPr>
          <w:rFonts w:ascii="Times New Roman" w:hAnsi="Times New Roman" w:cs="Times New Roman"/>
        </w:rPr>
        <w:t xml:space="preserve">II </w:t>
      </w:r>
      <w:r>
        <w:rPr>
          <w:rFonts w:ascii="Times New Roman" w:hAnsi="Times New Roman" w:cs="Times New Roman"/>
        </w:rPr>
        <w:t xml:space="preserve">- </w:t>
      </w:r>
      <w:r w:rsidRPr="0030625E">
        <w:rPr>
          <w:rFonts w:ascii="TimesNewRomanPSMT" w:eastAsia="Times New Roman" w:hAnsi="TimesNewRomanPSMT" w:cs="TimesNewRomanPSMT"/>
          <w:sz w:val="24"/>
          <w:szCs w:val="24"/>
        </w:rPr>
        <w:t>Bianca Gala</w:t>
      </w:r>
      <w:r w:rsidRPr="0030625E">
        <w:rPr>
          <w:rFonts w:ascii="TimesNewRomanPSMT" w:eastAsia="Times New Roman" w:hAnsi="TimesNewRomanPSMT" w:cs="TimesNewRomanPSMT"/>
          <w:sz w:val="24"/>
          <w:szCs w:val="24"/>
        </w:rPr>
        <w:br/>
        <w:t xml:space="preserve">PSY370 </w:t>
      </w:r>
    </w:p>
    <w:p w14:paraId="7AB825E5" w14:textId="77777777" w:rsidR="0030625E" w:rsidRPr="0030625E" w:rsidRDefault="0030625E" w:rsidP="0030625E">
      <w:pPr>
        <w:shd w:val="clear" w:color="auto" w:fill="FFFFFF"/>
        <w:spacing w:before="100" w:beforeAutospacing="1" w:after="100" w:afterAutospacing="1" w:line="480" w:lineRule="auto"/>
        <w:contextualSpacing/>
        <w:rPr>
          <w:rFonts w:ascii="TimesNewRomanPSMT" w:eastAsia="Times New Roman" w:hAnsi="TimesNewRomanPSMT" w:cs="TimesNewRomanPSMT"/>
          <w:sz w:val="24"/>
          <w:szCs w:val="24"/>
        </w:rPr>
      </w:pPr>
      <w:r w:rsidRPr="0030625E">
        <w:rPr>
          <w:rFonts w:ascii="TimesNewRomanPSMT" w:eastAsia="Times New Roman" w:hAnsi="TimesNewRomanPSMT" w:cs="TimesNewRomanPSMT"/>
          <w:sz w:val="24"/>
          <w:szCs w:val="24"/>
        </w:rPr>
        <w:t xml:space="preserve">Fall 2020 </w:t>
      </w:r>
    </w:p>
    <w:p w14:paraId="0592B715" w14:textId="77777777" w:rsidR="0030625E" w:rsidRPr="0030625E" w:rsidRDefault="0030625E" w:rsidP="0030625E">
      <w:pPr>
        <w:shd w:val="clear" w:color="auto" w:fill="FFFFFF"/>
        <w:spacing w:before="100" w:beforeAutospacing="1" w:after="100" w:afterAutospacing="1" w:line="480" w:lineRule="auto"/>
        <w:contextualSpacing/>
        <w:rPr>
          <w:rFonts w:ascii="Times New Roman" w:eastAsia="Times New Roman" w:hAnsi="Times New Roman" w:cs="Times New Roman"/>
          <w:sz w:val="24"/>
          <w:szCs w:val="24"/>
        </w:rPr>
      </w:pPr>
      <w:r w:rsidRPr="0030625E">
        <w:rPr>
          <w:rFonts w:ascii="TimesNewRomanPSMT" w:eastAsia="Times New Roman" w:hAnsi="TimesNewRomanPSMT" w:cs="TimesNewRomanPSMT"/>
          <w:sz w:val="24"/>
          <w:szCs w:val="24"/>
        </w:rPr>
        <w:t xml:space="preserve">Professor Johnson </w:t>
      </w:r>
    </w:p>
    <w:p w14:paraId="066649B0" w14:textId="77777777" w:rsidR="0030625E" w:rsidRPr="0030625E" w:rsidRDefault="0030625E" w:rsidP="0030625E">
      <w:pPr>
        <w:shd w:val="clear" w:color="auto" w:fill="FFFFFF"/>
        <w:spacing w:before="100" w:beforeAutospacing="1" w:after="100" w:afterAutospacing="1" w:line="480" w:lineRule="auto"/>
        <w:contextualSpacing/>
        <w:jc w:val="center"/>
        <w:rPr>
          <w:rFonts w:ascii="Times New Roman" w:eastAsia="Times New Roman" w:hAnsi="Times New Roman" w:cs="Times New Roman"/>
          <w:sz w:val="24"/>
          <w:szCs w:val="24"/>
        </w:rPr>
      </w:pPr>
      <w:r w:rsidRPr="0030625E">
        <w:rPr>
          <w:rFonts w:ascii="TimesNewRomanPSMT" w:eastAsia="Times New Roman" w:hAnsi="TimesNewRomanPSMT" w:cs="TimesNewRomanPSMT"/>
          <w:sz w:val="24"/>
          <w:szCs w:val="24"/>
        </w:rPr>
        <w:t>“Intangible captivity: The potential for a new Canadian criminal defense of brainwashing and its implications for the battered woman: A Review”</w:t>
      </w:r>
    </w:p>
    <w:p w14:paraId="1D25A0F5" w14:textId="77777777" w:rsidR="0030625E" w:rsidRPr="0030625E" w:rsidRDefault="0030625E" w:rsidP="0030625E">
      <w:pPr>
        <w:shd w:val="clear" w:color="auto" w:fill="FFFFFF"/>
        <w:spacing w:before="100" w:beforeAutospacing="1" w:after="100" w:afterAutospacing="1" w:line="240" w:lineRule="auto"/>
        <w:contextualSpacing/>
        <w:rPr>
          <w:rFonts w:ascii="TimesNewRomanPSMT" w:eastAsia="Times New Roman" w:hAnsi="TimesNewRomanPSMT" w:cs="TimesNewRomanPSMT"/>
          <w:sz w:val="24"/>
          <w:szCs w:val="24"/>
        </w:rPr>
      </w:pPr>
      <w:r w:rsidRPr="0030625E">
        <w:rPr>
          <w:rFonts w:ascii="TimesNewRomanPSMT" w:eastAsia="Times New Roman" w:hAnsi="TimesNewRomanPSMT" w:cs="TimesNewRomanPSMT"/>
          <w:sz w:val="24"/>
          <w:szCs w:val="24"/>
        </w:rPr>
        <w:t>Abstract:</w:t>
      </w:r>
      <w:r w:rsidRPr="0030625E">
        <w:rPr>
          <w:rFonts w:ascii="TimesNewRomanPSMT" w:eastAsia="Times New Roman" w:hAnsi="TimesNewRomanPSMT" w:cs="TimesNewRomanPSMT"/>
          <w:sz w:val="24"/>
          <w:szCs w:val="24"/>
        </w:rPr>
        <w:br/>
      </w:r>
      <w:r w:rsidRPr="0030625E">
        <w:rPr>
          <w:rFonts w:ascii="TimesNewRomanPSMT" w:eastAsia="Times New Roman" w:hAnsi="TimesNewRomanPSMT" w:cs="TimesNewRomanPSMT"/>
          <w:i/>
          <w:iCs/>
          <w:sz w:val="24"/>
          <w:szCs w:val="24"/>
        </w:rPr>
        <w:t>This study explores the possibility of using brainwashing as a defense within the Canadian court system for women suffering from battered woman syndrome. It is the concept in which the human mind can be controlled by psychological duress. The study's focus reveals the correlation between women suffering from battered woman syndrome and their liability for the crime. Brainwashing, as a defense, is compared to defenses that are typically utilized in court, such as duress and necessity. This study analyzes previous court cases in which brainwashing could have been used as a legitimate defense and the importance of it becoming a legitimate defense in the future (Chapman, 2010).</w:t>
      </w:r>
    </w:p>
    <w:p w14:paraId="479C9D70" w14:textId="77777777" w:rsidR="0030625E" w:rsidRPr="0030625E" w:rsidRDefault="0030625E" w:rsidP="0030625E">
      <w:pPr>
        <w:shd w:val="clear" w:color="auto" w:fill="FFFFFF"/>
        <w:spacing w:before="100" w:beforeAutospacing="1" w:after="100" w:afterAutospacing="1" w:line="480" w:lineRule="auto"/>
        <w:contextualSpacing/>
        <w:rPr>
          <w:rFonts w:ascii="TimesNewRomanPSMT" w:eastAsia="Times New Roman" w:hAnsi="TimesNewRomanPSMT" w:cs="TimesNewRomanPSMT"/>
          <w:sz w:val="24"/>
          <w:szCs w:val="24"/>
        </w:rPr>
      </w:pPr>
    </w:p>
    <w:p w14:paraId="5E50A1A2" w14:textId="77777777" w:rsidR="0030625E" w:rsidRPr="0030625E" w:rsidRDefault="0030625E" w:rsidP="0030625E">
      <w:pPr>
        <w:shd w:val="clear" w:color="auto" w:fill="FFFFFF"/>
        <w:spacing w:before="100" w:beforeAutospacing="1" w:after="100" w:afterAutospacing="1" w:line="480" w:lineRule="auto"/>
        <w:ind w:firstLine="720"/>
        <w:contextualSpacing/>
        <w:rPr>
          <w:rFonts w:ascii="TimesNewRomanPSMT" w:eastAsia="Times New Roman" w:hAnsi="TimesNewRomanPSMT" w:cs="TimesNewRomanPSMT"/>
          <w:sz w:val="24"/>
          <w:szCs w:val="24"/>
        </w:rPr>
      </w:pPr>
      <w:r w:rsidRPr="0030625E">
        <w:rPr>
          <w:rFonts w:ascii="TimesNewRomanPSMT" w:eastAsia="Times New Roman" w:hAnsi="TimesNewRomanPSMT" w:cs="TimesNewRomanPSMT"/>
          <w:sz w:val="24"/>
          <w:szCs w:val="24"/>
        </w:rPr>
        <w:t xml:space="preserve">The idea of using brainwashing as a possible defense within the criminal justice system has provoked researchers to analyze the meaning behind brainwashing. Brainwashing is a category within the American Psychiatric Association's (2013) </w:t>
      </w:r>
      <w:r w:rsidRPr="0030625E">
        <w:rPr>
          <w:rFonts w:ascii="TimesNewRomanPSMT" w:eastAsia="Times New Roman" w:hAnsi="TimesNewRomanPSMT" w:cs="TimesNewRomanPSMT"/>
          <w:i/>
          <w:iCs/>
          <w:sz w:val="24"/>
          <w:szCs w:val="24"/>
        </w:rPr>
        <w:t>Diagnostic and Statistical Manual of Mental Disorders</w:t>
      </w:r>
      <w:r w:rsidRPr="0030625E">
        <w:rPr>
          <w:rFonts w:ascii="TimesNewRomanPSMT" w:eastAsia="Times New Roman" w:hAnsi="TimesNewRomanPSMT" w:cs="TimesNewRomanPSMT"/>
          <w:sz w:val="24"/>
          <w:szCs w:val="24"/>
        </w:rPr>
        <w:t xml:space="preserve"> (5th ed.; DSM-5), a tool that psychologists use to evaluate individuals with mental illnesses. Mental illnesses can dictate the individual's state of consciousness, their memory, identity, and overall perception of the environment. The DSM-5-TR also addresses a category three, meaning that individuals enter a state of dissociation due to prolonged periods of coercive persuasion, such as brainwashing and thought reform, while being held captive (Chapman, 2010). The DSM-5 describes all mental disorders and illnesses that can be classified amongst children and adults. </w:t>
      </w:r>
    </w:p>
    <w:p w14:paraId="5655BCC9" w14:textId="77777777" w:rsidR="0030625E" w:rsidRPr="0030625E" w:rsidRDefault="0030625E" w:rsidP="0030625E">
      <w:pPr>
        <w:shd w:val="clear" w:color="auto" w:fill="FFFFFF"/>
        <w:spacing w:before="100" w:beforeAutospacing="1" w:after="100" w:afterAutospacing="1" w:line="480" w:lineRule="auto"/>
        <w:ind w:firstLine="720"/>
        <w:contextualSpacing/>
        <w:rPr>
          <w:rFonts w:ascii="TimesNewRomanPSMT" w:eastAsia="Times New Roman" w:hAnsi="TimesNewRomanPSMT" w:cs="TimesNewRomanPSMT"/>
          <w:sz w:val="24"/>
          <w:szCs w:val="24"/>
        </w:rPr>
      </w:pPr>
      <w:r w:rsidRPr="0030625E">
        <w:rPr>
          <w:rFonts w:ascii="TimesNewRomanPSMT" w:eastAsia="Times New Roman" w:hAnsi="TimesNewRomanPSMT" w:cs="TimesNewRomanPSMT"/>
          <w:sz w:val="24"/>
          <w:szCs w:val="24"/>
        </w:rPr>
        <w:lastRenderedPageBreak/>
        <w:t xml:space="preserve">According to the DSM-5 (2013), a brainwashed individual would perform with impaired decision-making capabilities that would make it merely impossible for them to execute normatively acceptable behaviors. To establish if brainwashing could be used as a legitimate defense in court, the researchers of this study evaluated the differences between brainwashing and other legal defenses. The study revealed that brainwashing could not fit in with other legal defenses since it is compelled by human agency. According to Chapman (2010, p.35), "…there are many limitations to duress, including the problems with immediacy, safe avenues of escape, prior fault, and excluded offenses. It is not advisable to fit brainwashing into this existing defense". The researcher concluded that although it was problematic to use brainwashing as its own distinct defense, it could advance the argument regarding the presence of </w:t>
      </w:r>
      <w:proofErr w:type="spellStart"/>
      <w:r w:rsidRPr="0030625E">
        <w:rPr>
          <w:rFonts w:ascii="TimesNewRomanPSMT" w:eastAsia="Times New Roman" w:hAnsi="TimesNewRomanPSMT" w:cs="TimesNewRomanPSMT"/>
          <w:sz w:val="24"/>
          <w:szCs w:val="24"/>
        </w:rPr>
        <w:t>mens</w:t>
      </w:r>
      <w:proofErr w:type="spellEnd"/>
      <w:r w:rsidRPr="0030625E">
        <w:rPr>
          <w:rFonts w:ascii="TimesNewRomanPSMT" w:eastAsia="Times New Roman" w:hAnsi="TimesNewRomanPSMT" w:cs="TimesNewRomanPSMT"/>
          <w:sz w:val="24"/>
          <w:szCs w:val="24"/>
        </w:rPr>
        <w:t>' rea.</w:t>
      </w:r>
    </w:p>
    <w:p w14:paraId="32384B4E" w14:textId="77777777" w:rsidR="0030625E" w:rsidRPr="0030625E" w:rsidRDefault="0030625E" w:rsidP="0030625E">
      <w:pPr>
        <w:shd w:val="clear" w:color="auto" w:fill="FFFFFF"/>
        <w:spacing w:before="100" w:beforeAutospacing="1" w:after="100" w:afterAutospacing="1" w:line="480" w:lineRule="auto"/>
        <w:ind w:firstLine="720"/>
        <w:contextualSpacing/>
        <w:rPr>
          <w:rFonts w:ascii="TimesNewRomanPSMT" w:eastAsia="Times New Roman" w:hAnsi="TimesNewRomanPSMT" w:cs="TimesNewRomanPSMT"/>
          <w:sz w:val="24"/>
          <w:szCs w:val="24"/>
        </w:rPr>
      </w:pPr>
      <w:r w:rsidRPr="0030625E">
        <w:rPr>
          <w:rFonts w:ascii="TimesNewRomanPSMT" w:eastAsia="Times New Roman" w:hAnsi="TimesNewRomanPSMT" w:cs="TimesNewRomanPSMT"/>
          <w:sz w:val="24"/>
          <w:szCs w:val="24"/>
        </w:rPr>
        <w:t xml:space="preserve">For a crime to be considered an illegal act, there must be the presence of </w:t>
      </w:r>
      <w:proofErr w:type="spellStart"/>
      <w:r w:rsidRPr="0030625E">
        <w:rPr>
          <w:rFonts w:ascii="TimesNewRomanPSMT" w:eastAsia="Times New Roman" w:hAnsi="TimesNewRomanPSMT" w:cs="TimesNewRomanPSMT"/>
          <w:sz w:val="24"/>
          <w:szCs w:val="24"/>
        </w:rPr>
        <w:t>mens</w:t>
      </w:r>
      <w:proofErr w:type="spellEnd"/>
      <w:r w:rsidRPr="0030625E">
        <w:rPr>
          <w:rFonts w:ascii="TimesNewRomanPSMT" w:eastAsia="Times New Roman" w:hAnsi="TimesNewRomanPSMT" w:cs="TimesNewRomanPSMT"/>
          <w:sz w:val="24"/>
          <w:szCs w:val="24"/>
        </w:rPr>
        <w:t xml:space="preserve">' rea. An individual must possess the intention and knowledge of committing a wrongful act and be aware of their actions. An individual who is brainwashed is stripped of their own beliefs and perspectives. When pursuing a forceful task given by the actor, their ability to comprehend or even stop the action is disrupted. According to Stein (2017), abnormal influences such as prolonged confinement, psychological depletion, or deliberate manipulation of anxiety and guilt can imply that the victim did not demonstrate men's rea.  </w:t>
      </w:r>
    </w:p>
    <w:p w14:paraId="34ADB279" w14:textId="77777777" w:rsidR="0030625E" w:rsidRPr="0030625E" w:rsidRDefault="0030625E" w:rsidP="0030625E">
      <w:pPr>
        <w:shd w:val="clear" w:color="auto" w:fill="FFFFFF"/>
        <w:spacing w:before="100" w:beforeAutospacing="1" w:after="100" w:afterAutospacing="1" w:line="480" w:lineRule="auto"/>
        <w:ind w:firstLine="720"/>
        <w:contextualSpacing/>
        <w:rPr>
          <w:rFonts w:ascii="TimesNewRomanPSMT" w:eastAsia="Times New Roman" w:hAnsi="TimesNewRomanPSMT" w:cs="TimesNewRomanPSMT"/>
          <w:sz w:val="24"/>
          <w:szCs w:val="24"/>
        </w:rPr>
      </w:pPr>
      <w:r w:rsidRPr="0030625E">
        <w:rPr>
          <w:rFonts w:ascii="TimesNewRomanPSMT" w:eastAsia="Times New Roman" w:hAnsi="TimesNewRomanPSMT" w:cs="TimesNewRomanPSMT"/>
          <w:sz w:val="24"/>
          <w:szCs w:val="24"/>
        </w:rPr>
        <w:t xml:space="preserve">In </w:t>
      </w:r>
      <w:r w:rsidRPr="0030625E">
        <w:rPr>
          <w:rFonts w:ascii="TimesNewRomanPSMT" w:eastAsia="Times New Roman" w:hAnsi="TimesNewRomanPSMT" w:cs="TimesNewRomanPSMT"/>
          <w:i/>
          <w:iCs/>
          <w:sz w:val="24"/>
          <w:szCs w:val="24"/>
        </w:rPr>
        <w:t>United States v. Fishman</w:t>
      </w:r>
      <w:r w:rsidRPr="0030625E">
        <w:rPr>
          <w:rFonts w:ascii="TimesNewRomanPSMT" w:eastAsia="Times New Roman" w:hAnsi="TimesNewRomanPSMT" w:cs="TimesNewRomanPSMT"/>
          <w:sz w:val="24"/>
          <w:szCs w:val="24"/>
        </w:rPr>
        <w:t xml:space="preserve"> (1990), Fishman was indicted on eleven counts of mail fraud, and his defense of brainwashing was rejected. The majority opinion stated "… the defendant's proffered testimony negated the element of specific intent related exclusively to alleged influence techniques brought to bear upon him by the Church of Scientology, which is an aspect of thought reform theory that the Court has deemed inadmissible under the Frye standard." The </w:t>
      </w:r>
      <w:r w:rsidRPr="0030625E">
        <w:rPr>
          <w:rFonts w:ascii="TimesNewRomanPSMT" w:eastAsia="Times New Roman" w:hAnsi="TimesNewRomanPSMT" w:cs="TimesNewRomanPSMT"/>
          <w:i/>
          <w:iCs/>
          <w:sz w:val="24"/>
          <w:szCs w:val="24"/>
        </w:rPr>
        <w:t xml:space="preserve">Fishman </w:t>
      </w:r>
      <w:r w:rsidRPr="0030625E">
        <w:rPr>
          <w:rFonts w:ascii="TimesNewRomanPSMT" w:eastAsia="Times New Roman" w:hAnsi="TimesNewRomanPSMT" w:cs="TimesNewRomanPSMT"/>
          <w:sz w:val="24"/>
          <w:szCs w:val="24"/>
        </w:rPr>
        <w:t xml:space="preserve">ruling reflects the perception held by the legal community that brainwashing is a </w:t>
      </w:r>
      <w:r w:rsidRPr="0030625E">
        <w:rPr>
          <w:rFonts w:ascii="TimesNewRomanPSMT" w:eastAsia="Times New Roman" w:hAnsi="TimesNewRomanPSMT" w:cs="TimesNewRomanPSMT"/>
          <w:sz w:val="24"/>
          <w:szCs w:val="24"/>
        </w:rPr>
        <w:lastRenderedPageBreak/>
        <w:t xml:space="preserve">pseudoscience. As a result, courts continue to rule against admitting the theory as evidence. Brainwashing is a concept that another individual can control an individual's mind, but there is no scientific evidence to prove that this is true or legitimate. </w:t>
      </w:r>
    </w:p>
    <w:p w14:paraId="06A49C36" w14:textId="77777777" w:rsidR="0030625E" w:rsidRPr="0030625E" w:rsidRDefault="0030625E" w:rsidP="0030625E">
      <w:pPr>
        <w:shd w:val="clear" w:color="auto" w:fill="FFFFFF"/>
        <w:spacing w:before="100" w:beforeAutospacing="1" w:after="100" w:afterAutospacing="1" w:line="480" w:lineRule="auto"/>
        <w:ind w:firstLine="720"/>
        <w:contextualSpacing/>
        <w:rPr>
          <w:rFonts w:ascii="TimesNewRomanPSMT" w:eastAsia="Times New Roman" w:hAnsi="TimesNewRomanPSMT" w:cs="TimesNewRomanPSMT"/>
          <w:sz w:val="24"/>
          <w:szCs w:val="24"/>
        </w:rPr>
      </w:pPr>
      <w:r w:rsidRPr="0030625E">
        <w:rPr>
          <w:rFonts w:ascii="TimesNewRomanPSMT" w:eastAsia="Times New Roman" w:hAnsi="TimesNewRomanPSMT" w:cs="TimesNewRomanPSMT"/>
          <w:sz w:val="24"/>
          <w:szCs w:val="24"/>
        </w:rPr>
        <w:t xml:space="preserve">The study's objective was to solidify the possibility of a new defense within the justice system. The defense of brainwashing was under review to provide justice for spouses who have been stripped of their identity or abused. Although brainwashing can reveal that men's rea is not present, it is not a strong enough argument to be the basis of a defense. This study considered females suffering from battered woman syndrome, but it did not explore individuals with other mental health issues. In addition to battered women, individuals diagnosed with mental illnesses are more vulnerable to being manipulated and abused. The researcher also sought to compare brainwashing to other legal defenses instead of inquiring how they could solidify and prove the defense to be legitimate. This study had provided a basis for recognizing that a brainwashed person cannot be held responsible for their mental state but failed to provide a solid foundation for a well-grounded defense. </w:t>
      </w:r>
    </w:p>
    <w:p w14:paraId="74096555" w14:textId="77777777" w:rsidR="0030625E" w:rsidRPr="0030625E" w:rsidRDefault="0030625E" w:rsidP="0030625E">
      <w:pPr>
        <w:shd w:val="clear" w:color="auto" w:fill="FFFFFF"/>
        <w:spacing w:before="100" w:beforeAutospacing="1" w:after="100" w:afterAutospacing="1" w:line="480" w:lineRule="auto"/>
        <w:contextualSpacing/>
        <w:rPr>
          <w:rFonts w:ascii="TimesNewRomanPSMT" w:eastAsia="Times New Roman" w:hAnsi="TimesNewRomanPSMT" w:cs="TimesNewRomanPSMT"/>
          <w:color w:val="000000" w:themeColor="text1"/>
          <w:sz w:val="24"/>
          <w:szCs w:val="24"/>
        </w:rPr>
      </w:pPr>
    </w:p>
    <w:p w14:paraId="2781640B" w14:textId="77777777" w:rsidR="0030625E" w:rsidRPr="0030625E" w:rsidRDefault="0030625E" w:rsidP="0030625E">
      <w:pPr>
        <w:shd w:val="clear" w:color="auto" w:fill="FFFFFF"/>
        <w:spacing w:before="100" w:beforeAutospacing="1" w:after="100" w:afterAutospacing="1" w:line="480" w:lineRule="auto"/>
        <w:contextualSpacing/>
        <w:rPr>
          <w:rFonts w:ascii="Times New Roman" w:eastAsia="Times New Roman" w:hAnsi="Times New Roman" w:cs="Times New Roman"/>
          <w:color w:val="000000" w:themeColor="text1"/>
          <w:sz w:val="24"/>
          <w:szCs w:val="24"/>
        </w:rPr>
      </w:pPr>
      <w:r w:rsidRPr="0030625E">
        <w:rPr>
          <w:rFonts w:ascii="TimesNewRomanPSMT" w:eastAsia="Times New Roman" w:hAnsi="TimesNewRomanPSMT" w:cs="TimesNewRomanPSMT"/>
          <w:color w:val="000000" w:themeColor="text1"/>
          <w:sz w:val="24"/>
          <w:szCs w:val="24"/>
        </w:rPr>
        <w:t xml:space="preserve">References: </w:t>
      </w:r>
    </w:p>
    <w:p w14:paraId="29E7BEB5" w14:textId="77777777" w:rsidR="0030625E" w:rsidRPr="0030625E" w:rsidRDefault="0030625E" w:rsidP="0030625E">
      <w:pPr>
        <w:spacing w:before="100" w:beforeAutospacing="1" w:after="100" w:afterAutospacing="1" w:line="480" w:lineRule="auto"/>
        <w:contextualSpacing/>
        <w:rPr>
          <w:rFonts w:ascii="Times New Roman,Italic" w:eastAsia="Times New Roman" w:hAnsi="Times New Roman,Italic" w:cs="Times New Roman"/>
          <w:i/>
          <w:iCs/>
          <w:sz w:val="24"/>
          <w:szCs w:val="24"/>
        </w:rPr>
      </w:pPr>
      <w:r w:rsidRPr="0030625E">
        <w:rPr>
          <w:rFonts w:ascii="Times New Roman" w:eastAsia="Times New Roman" w:hAnsi="Times New Roman" w:cs="Times New Roman"/>
          <w:sz w:val="24"/>
          <w:szCs w:val="24"/>
        </w:rPr>
        <w:t xml:space="preserve">American Psychiatric Association. (2013). </w:t>
      </w:r>
      <w:r w:rsidRPr="0030625E">
        <w:rPr>
          <w:rFonts w:ascii="Times New Roman,Italic" w:eastAsia="Times New Roman" w:hAnsi="Times New Roman,Italic" w:cs="Times New Roman"/>
          <w:i/>
          <w:iCs/>
          <w:sz w:val="24"/>
          <w:szCs w:val="24"/>
        </w:rPr>
        <w:t xml:space="preserve">Diagnostic and statistical manual of mental disorders </w:t>
      </w:r>
    </w:p>
    <w:p w14:paraId="3A8BEEE2" w14:textId="77777777" w:rsidR="0030625E" w:rsidRPr="0030625E" w:rsidRDefault="0030625E" w:rsidP="0030625E">
      <w:pPr>
        <w:spacing w:before="100" w:beforeAutospacing="1" w:after="100" w:afterAutospacing="1" w:line="480" w:lineRule="auto"/>
        <w:ind w:firstLine="720"/>
        <w:contextualSpacing/>
        <w:rPr>
          <w:rFonts w:ascii="Times New Roman" w:eastAsia="Times New Roman" w:hAnsi="Times New Roman" w:cs="Times New Roman"/>
          <w:sz w:val="24"/>
          <w:szCs w:val="24"/>
        </w:rPr>
      </w:pPr>
      <w:r w:rsidRPr="0030625E">
        <w:rPr>
          <w:rFonts w:ascii="Times New Roman" w:eastAsia="Times New Roman" w:hAnsi="Times New Roman" w:cs="Times New Roman"/>
          <w:sz w:val="24"/>
          <w:szCs w:val="24"/>
        </w:rPr>
        <w:t xml:space="preserve">(5th ed.). </w:t>
      </w:r>
    </w:p>
    <w:p w14:paraId="255838BB" w14:textId="77777777" w:rsidR="0030625E" w:rsidRPr="0030625E" w:rsidRDefault="0030625E" w:rsidP="0030625E">
      <w:pPr>
        <w:shd w:val="clear" w:color="auto" w:fill="FFFFFF"/>
        <w:spacing w:before="100" w:beforeAutospacing="1" w:after="100" w:afterAutospacing="1" w:line="480" w:lineRule="auto"/>
        <w:contextualSpacing/>
        <w:rPr>
          <w:rFonts w:ascii="TimesNewRomanPSMT" w:eastAsia="Times New Roman" w:hAnsi="TimesNewRomanPSMT" w:cs="TimesNewRomanPSMT"/>
          <w:sz w:val="24"/>
          <w:szCs w:val="24"/>
        </w:rPr>
      </w:pPr>
      <w:r w:rsidRPr="0030625E">
        <w:rPr>
          <w:rFonts w:ascii="TimesNewRomanPSMT" w:eastAsia="Times New Roman" w:hAnsi="TimesNewRomanPSMT" w:cs="TimesNewRomanPSMT"/>
          <w:sz w:val="24"/>
          <w:szCs w:val="24"/>
        </w:rPr>
        <w:t xml:space="preserve">Chapman, F. (2010). Intangible captivity: The potential for a new Canadian criminal defense of </w:t>
      </w:r>
    </w:p>
    <w:p w14:paraId="4485359A" w14:textId="77777777" w:rsidR="0030625E" w:rsidRPr="0030625E" w:rsidRDefault="0030625E" w:rsidP="0030625E">
      <w:pPr>
        <w:shd w:val="clear" w:color="auto" w:fill="FFFFFF"/>
        <w:spacing w:before="100" w:beforeAutospacing="1" w:after="100" w:afterAutospacing="1" w:line="480" w:lineRule="auto"/>
        <w:ind w:firstLine="720"/>
        <w:contextualSpacing/>
        <w:rPr>
          <w:rFonts w:ascii="TimesNewRomanPSMT" w:eastAsia="Times New Roman" w:hAnsi="TimesNewRomanPSMT" w:cs="TimesNewRomanPSMT"/>
          <w:sz w:val="24"/>
          <w:szCs w:val="24"/>
        </w:rPr>
      </w:pPr>
      <w:r w:rsidRPr="0030625E">
        <w:rPr>
          <w:rFonts w:ascii="TimesNewRomanPSMT" w:eastAsia="Times New Roman" w:hAnsi="TimesNewRomanPSMT" w:cs="TimesNewRomanPSMT"/>
          <w:sz w:val="24"/>
          <w:szCs w:val="24"/>
        </w:rPr>
        <w:t xml:space="preserve">brainwashing and its implications for the battered woman [ProQuest Information &amp; </w:t>
      </w:r>
    </w:p>
    <w:p w14:paraId="45661C5A" w14:textId="77777777" w:rsidR="0030625E" w:rsidRPr="0030625E" w:rsidRDefault="0030625E" w:rsidP="0030625E">
      <w:pPr>
        <w:shd w:val="clear" w:color="auto" w:fill="FFFFFF"/>
        <w:spacing w:before="100" w:beforeAutospacing="1" w:after="100" w:afterAutospacing="1" w:line="480" w:lineRule="auto"/>
        <w:ind w:firstLine="720"/>
        <w:contextualSpacing/>
        <w:rPr>
          <w:rFonts w:ascii="TimesNewRomanPS" w:eastAsia="Times New Roman" w:hAnsi="TimesNewRomanPS" w:cs="Times New Roman"/>
          <w:i/>
          <w:iCs/>
          <w:sz w:val="24"/>
          <w:szCs w:val="24"/>
        </w:rPr>
      </w:pPr>
      <w:r w:rsidRPr="0030625E">
        <w:rPr>
          <w:rFonts w:ascii="TimesNewRomanPSMT" w:eastAsia="Times New Roman" w:hAnsi="TimesNewRomanPSMT" w:cs="TimesNewRomanPSMT"/>
          <w:sz w:val="24"/>
          <w:szCs w:val="24"/>
        </w:rPr>
        <w:t xml:space="preserve">Learning]. In Dissertation Abstracts International Section A: </w:t>
      </w:r>
      <w:r w:rsidRPr="0030625E">
        <w:rPr>
          <w:rFonts w:ascii="TimesNewRomanPS" w:eastAsia="Times New Roman" w:hAnsi="TimesNewRomanPS" w:cs="Times New Roman"/>
          <w:i/>
          <w:iCs/>
          <w:sz w:val="24"/>
          <w:szCs w:val="24"/>
        </w:rPr>
        <w:t xml:space="preserve">Humanities and Social </w:t>
      </w:r>
    </w:p>
    <w:p w14:paraId="795A8681" w14:textId="77777777" w:rsidR="0030625E" w:rsidRPr="0030625E" w:rsidRDefault="0030625E" w:rsidP="0030625E">
      <w:pPr>
        <w:shd w:val="clear" w:color="auto" w:fill="FFFFFF"/>
        <w:spacing w:before="100" w:beforeAutospacing="1" w:after="100" w:afterAutospacing="1" w:line="480" w:lineRule="auto"/>
        <w:ind w:firstLine="720"/>
        <w:contextualSpacing/>
        <w:rPr>
          <w:rFonts w:ascii="Times New Roman" w:eastAsia="Times New Roman" w:hAnsi="Times New Roman" w:cs="Times New Roman"/>
          <w:sz w:val="24"/>
          <w:szCs w:val="24"/>
        </w:rPr>
      </w:pPr>
      <w:r w:rsidRPr="0030625E">
        <w:rPr>
          <w:rFonts w:ascii="TimesNewRomanPS" w:eastAsia="Times New Roman" w:hAnsi="TimesNewRomanPS" w:cs="Times New Roman"/>
          <w:i/>
          <w:iCs/>
          <w:sz w:val="24"/>
          <w:szCs w:val="24"/>
        </w:rPr>
        <w:t>Sciences, 70</w:t>
      </w:r>
      <w:r w:rsidRPr="0030625E">
        <w:rPr>
          <w:rFonts w:ascii="TimesNewRomanPSMT" w:eastAsia="Times New Roman" w:hAnsi="TimesNewRomanPSMT" w:cs="TimesNewRomanPSMT"/>
          <w:sz w:val="24"/>
          <w:szCs w:val="24"/>
        </w:rPr>
        <w:t xml:space="preserve">(12) p. 37. </w:t>
      </w:r>
    </w:p>
    <w:p w14:paraId="20E6EC97" w14:textId="77777777" w:rsidR="0030625E" w:rsidRPr="0030625E" w:rsidRDefault="0030625E" w:rsidP="0030625E">
      <w:pPr>
        <w:shd w:val="clear" w:color="auto" w:fill="FFFFFF"/>
        <w:spacing w:before="100" w:beforeAutospacing="1" w:after="100" w:afterAutospacing="1" w:line="480" w:lineRule="auto"/>
        <w:contextualSpacing/>
        <w:rPr>
          <w:rFonts w:ascii="TimesNewRomanPSMT" w:eastAsia="Times New Roman" w:hAnsi="TimesNewRomanPSMT" w:cs="TimesNewRomanPSMT"/>
          <w:sz w:val="24"/>
          <w:szCs w:val="24"/>
        </w:rPr>
      </w:pPr>
      <w:r w:rsidRPr="0030625E">
        <w:rPr>
          <w:rFonts w:ascii="TimesNewRomanPSMT" w:eastAsia="Times New Roman" w:hAnsi="TimesNewRomanPSMT" w:cs="TimesNewRomanPSMT"/>
          <w:sz w:val="24"/>
          <w:szCs w:val="24"/>
        </w:rPr>
        <w:t xml:space="preserve">Stein, A. (2017). Terror, Love </w:t>
      </w:r>
      <w:proofErr w:type="gramStart"/>
      <w:r w:rsidRPr="0030625E">
        <w:rPr>
          <w:rFonts w:ascii="TimesNewRomanPSMT" w:eastAsia="Times New Roman" w:hAnsi="TimesNewRomanPSMT" w:cs="TimesNewRomanPSMT"/>
          <w:sz w:val="24"/>
          <w:szCs w:val="24"/>
        </w:rPr>
        <w:t>And</w:t>
      </w:r>
      <w:proofErr w:type="gramEnd"/>
      <w:r w:rsidRPr="0030625E">
        <w:rPr>
          <w:rFonts w:ascii="TimesNewRomanPSMT" w:eastAsia="Times New Roman" w:hAnsi="TimesNewRomanPSMT" w:cs="TimesNewRomanPSMT"/>
          <w:sz w:val="24"/>
          <w:szCs w:val="24"/>
        </w:rPr>
        <w:t xml:space="preserve"> Brainwashing: Attachment In Cults And Totalitarian </w:t>
      </w:r>
    </w:p>
    <w:p w14:paraId="560F1BB8" w14:textId="77777777" w:rsidR="0030625E" w:rsidRPr="0030625E" w:rsidRDefault="0030625E" w:rsidP="0030625E">
      <w:pPr>
        <w:shd w:val="clear" w:color="auto" w:fill="FFFFFF"/>
        <w:spacing w:before="100" w:beforeAutospacing="1" w:after="100" w:afterAutospacing="1" w:line="480" w:lineRule="auto"/>
        <w:ind w:firstLine="720"/>
        <w:contextualSpacing/>
        <w:rPr>
          <w:rFonts w:ascii="Times New Roman" w:eastAsia="Times New Roman" w:hAnsi="Times New Roman" w:cs="Times New Roman"/>
          <w:sz w:val="24"/>
          <w:szCs w:val="24"/>
        </w:rPr>
      </w:pPr>
      <w:r w:rsidRPr="0030625E">
        <w:rPr>
          <w:rFonts w:ascii="TimesNewRomanPSMT" w:eastAsia="Times New Roman" w:hAnsi="TimesNewRomanPSMT" w:cs="TimesNewRomanPSMT"/>
          <w:sz w:val="24"/>
          <w:szCs w:val="24"/>
        </w:rPr>
        <w:lastRenderedPageBreak/>
        <w:t xml:space="preserve">Systems. Routledge/Taylor &amp; Francis </w:t>
      </w:r>
    </w:p>
    <w:p w14:paraId="1CA74AE5" w14:textId="77777777" w:rsidR="0030625E" w:rsidRPr="0030625E" w:rsidRDefault="0030625E" w:rsidP="0030625E">
      <w:pPr>
        <w:shd w:val="clear" w:color="auto" w:fill="FFFFFF"/>
        <w:spacing w:before="100" w:beforeAutospacing="1" w:after="100" w:afterAutospacing="1" w:line="480" w:lineRule="auto"/>
        <w:contextualSpacing/>
        <w:rPr>
          <w:rFonts w:ascii="Times New Roman" w:eastAsia="Times New Roman" w:hAnsi="Times New Roman" w:cs="Times New Roman"/>
          <w:sz w:val="24"/>
          <w:szCs w:val="24"/>
        </w:rPr>
      </w:pPr>
      <w:r w:rsidRPr="0030625E">
        <w:rPr>
          <w:rFonts w:ascii="Times New Roman" w:eastAsia="Times New Roman" w:hAnsi="Times New Roman" w:cs="Times New Roman"/>
          <w:i/>
          <w:iCs/>
          <w:sz w:val="24"/>
          <w:szCs w:val="24"/>
        </w:rPr>
        <w:t>United States v. Fishman</w:t>
      </w:r>
      <w:r w:rsidRPr="0030625E">
        <w:rPr>
          <w:rFonts w:ascii="Times New Roman" w:eastAsia="Times New Roman" w:hAnsi="Times New Roman" w:cs="Times New Roman"/>
          <w:sz w:val="24"/>
          <w:szCs w:val="24"/>
        </w:rPr>
        <w:t xml:space="preserve">, 743 F. Supp. 713 (1990) </w:t>
      </w:r>
    </w:p>
    <w:p w14:paraId="58F0FFFE" w14:textId="77777777" w:rsidR="0030625E" w:rsidRPr="0030625E" w:rsidRDefault="0030625E" w:rsidP="0030625E">
      <w:pPr>
        <w:spacing w:after="0" w:line="240" w:lineRule="auto"/>
        <w:rPr>
          <w:rFonts w:ascii="Times New Roman" w:hAnsi="Times New Roman" w:cs="Times New Roman"/>
          <w:color w:val="0C0F19"/>
          <w:sz w:val="24"/>
          <w:szCs w:val="24"/>
        </w:rPr>
      </w:pPr>
    </w:p>
    <w:p w14:paraId="05DD8C28" w14:textId="30999415" w:rsidR="0030625E" w:rsidRDefault="0030625E"/>
    <w:p w14:paraId="0ED2B72F" w14:textId="77777777" w:rsidR="0030625E" w:rsidRDefault="0030625E"/>
    <w:sectPr w:rsidR="0030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00"/>
    <w:family w:val="auto"/>
    <w:pitch w:val="variable"/>
    <w:sig w:usb0="E0002AEF" w:usb1="C0007841" w:usb2="00000009" w:usb3="00000000" w:csb0="000001FF" w:csb1="00000000"/>
  </w:font>
  <w:font w:name="Times New Roman,Italic">
    <w:altName w:val="Times New Roman"/>
    <w:charset w:val="00"/>
    <w:family w:val="roman"/>
    <w:pitch w:val="default"/>
  </w:font>
  <w:font w:name="TimesNewRomanP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82668C"/>
    <w:multiLevelType w:val="hybridMultilevel"/>
    <w:tmpl w:val="F594E8A2"/>
    <w:lvl w:ilvl="0" w:tplc="C7325A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25E"/>
    <w:rsid w:val="000C421C"/>
    <w:rsid w:val="0030625E"/>
    <w:rsid w:val="00BB41EB"/>
    <w:rsid w:val="00C01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E9093"/>
  <w15:chartTrackingRefBased/>
  <w15:docId w15:val="{A51FA46D-7C5B-4353-A770-C034553F0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2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111/cdep.1230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1800</Words>
  <Characters>10261</Characters>
  <Application>Microsoft Office Word</Application>
  <DocSecurity>0</DocSecurity>
  <Lines>85</Lines>
  <Paragraphs>24</Paragraphs>
  <ScaleCrop>false</ScaleCrop>
  <Company/>
  <LinksUpToDate>false</LinksUpToDate>
  <CharactersWithSpaces>12037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Johnson</dc:creator>
  <cp:keywords/>
  <dc:description/>
  <cp:lastModifiedBy>Mathew Johnson</cp:lastModifiedBy>
  <cp:revision>1</cp:revision>
  <dcterms:created xsi:type="dcterms:W3CDTF">2021-01-29T12:07:00Z</dcterms:created>
  <dcterms:modified xsi:type="dcterms:W3CDTF">2021-01-29T12:13:00Z</dcterms:modified>
</cp:coreProperties>
</file>